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附件2：</w:t>
      </w:r>
    </w:p>
    <w:p>
      <w:pPr>
        <w:jc w:val="center"/>
        <w:rPr>
          <w:rFonts w:ascii="宋体" w:hAnsi="宋体" w:cs="仿宋"/>
          <w:b/>
          <w:sz w:val="44"/>
          <w:szCs w:val="44"/>
        </w:rPr>
      </w:pPr>
      <w:bookmarkStart w:id="0" w:name="_GoBack"/>
      <w:r>
        <w:rPr>
          <w:rFonts w:hint="eastAsia" w:ascii="宋体" w:hAnsi="宋体" w:cs="仿宋"/>
          <w:b/>
          <w:sz w:val="44"/>
          <w:szCs w:val="44"/>
        </w:rPr>
        <w:t>培训课程安排（拟）</w:t>
      </w:r>
      <w:bookmarkEnd w:id="0"/>
    </w:p>
    <w:p>
      <w:pPr>
        <w:jc w:val="center"/>
        <w:rPr>
          <w:rFonts w:hint="eastAsia" w:ascii="宋体" w:hAnsi="宋体" w:cs="方正小标宋_GBK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cs="仿宋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</w:t>
      </w:r>
      <w:r>
        <w:rPr>
          <w:rFonts w:ascii="宋体" w:hAnsi="宋体" w:cs="仿宋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课程</w:t>
      </w:r>
      <w:r>
        <w:rPr>
          <w:rFonts w:hint="eastAsia" w:ascii="宋体" w:hAnsi="宋体" w:cs="仿宋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安排和主讲</w:t>
      </w:r>
      <w:r>
        <w:rPr>
          <w:rFonts w:ascii="宋体" w:hAnsi="宋体" w:cs="仿宋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专家以</w:t>
      </w:r>
      <w:r>
        <w:rPr>
          <w:rFonts w:hint="eastAsia" w:ascii="宋体" w:hAnsi="宋体" w:cs="仿宋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实际</w:t>
      </w:r>
      <w:r>
        <w:rPr>
          <w:rFonts w:ascii="宋体" w:hAnsi="宋体" w:cs="仿宋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开课为准</w:t>
      </w:r>
      <w:r>
        <w:rPr>
          <w:rFonts w:hint="eastAsia" w:ascii="宋体" w:hAnsi="宋体" w:cs="仿宋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）</w:t>
      </w:r>
    </w:p>
    <w:tbl>
      <w:tblPr>
        <w:tblStyle w:val="3"/>
        <w:tblpPr w:leftFromText="180" w:rightFromText="180" w:vertAnchor="text" w:horzAnchor="page" w:tblpX="993" w:tblpY="336"/>
        <w:tblOverlap w:val="never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2410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tabs>
                <w:tab w:val="left" w:pos="2850"/>
              </w:tabs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日程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850"/>
              </w:tabs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课程模块</w:t>
            </w:r>
          </w:p>
        </w:tc>
        <w:tc>
          <w:tcPr>
            <w:tcW w:w="7088" w:type="dxa"/>
            <w:gridSpan w:val="2"/>
            <w:vAlign w:val="center"/>
          </w:tcPr>
          <w:p>
            <w:pPr>
              <w:tabs>
                <w:tab w:val="left" w:pos="2850"/>
              </w:tabs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课程内容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1526" w:type="dxa"/>
            <w:vAlign w:val="center"/>
          </w:tcPr>
          <w:p>
            <w:pPr>
              <w:tabs>
                <w:tab w:val="left" w:pos="2850"/>
              </w:tabs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第一天</w:t>
            </w:r>
          </w:p>
          <w:p>
            <w:pPr>
              <w:tabs>
                <w:tab w:val="left" w:pos="2850"/>
              </w:tabs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9:00-11:30</w:t>
            </w:r>
          </w:p>
          <w:p>
            <w:pPr>
              <w:tabs>
                <w:tab w:val="left" w:pos="2850"/>
              </w:tabs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2850"/>
              </w:tabs>
              <w:spacing w:line="46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模块一</w:t>
            </w:r>
          </w:p>
          <w:p>
            <w:pPr>
              <w:tabs>
                <w:tab w:val="left" w:pos="2850"/>
              </w:tabs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“双碳”及建筑绿色低碳发展相关政策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2850"/>
              </w:tabs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全球应对气候变化情势与中国“双碳”战略顶层设计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和建筑“双碳”发展战略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林波荣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4678" w:type="dxa"/>
            <w:vAlign w:val="center"/>
          </w:tcPr>
          <w:p>
            <w:pPr>
              <w:numPr>
                <w:ilvl w:val="0"/>
                <w:numId w:val="1"/>
              </w:numPr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全球气候变化背景下的国际合作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我国推进“双碳”战略顶层设计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“双碳”战略下经济社会全面绿色转型前景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《城乡建设领域碳达峰实施方案》对建筑“双碳”实施意义与发展战略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26" w:type="dxa"/>
            <w:vMerge w:val="restart"/>
            <w:vAlign w:val="center"/>
          </w:tcPr>
          <w:p>
            <w:pPr>
              <w:tabs>
                <w:tab w:val="left" w:pos="2850"/>
              </w:tabs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第一天</w:t>
            </w:r>
          </w:p>
          <w:p>
            <w:pPr>
              <w:tabs>
                <w:tab w:val="left" w:pos="2850"/>
              </w:tabs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14:00-17:30</w:t>
            </w:r>
          </w:p>
          <w:p>
            <w:pPr>
              <w:tabs>
                <w:tab w:val="left" w:pos="2850"/>
              </w:tabs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tabs>
                <w:tab w:val="left" w:pos="2850"/>
              </w:tabs>
              <w:spacing w:line="46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模块二</w:t>
            </w:r>
          </w:p>
          <w:p>
            <w:pPr>
              <w:tabs>
                <w:tab w:val="left" w:pos="2850"/>
              </w:tabs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建筑领域“双碳”实施路径和产业升级</w:t>
            </w:r>
          </w:p>
        </w:tc>
        <w:tc>
          <w:tcPr>
            <w:tcW w:w="2410" w:type="dxa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打造绿色建造“湖南样板”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推进建筑工业化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专家</w:t>
            </w:r>
            <w:r>
              <w:rPr>
                <w:rFonts w:ascii="楷体" w:hAnsi="楷体" w:eastAsia="楷体" w:cs="楷体"/>
                <w:sz w:val="28"/>
                <w:szCs w:val="28"/>
              </w:rPr>
              <w:t>待定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4678" w:type="dxa"/>
            <w:vAlign w:val="center"/>
          </w:tcPr>
          <w:p>
            <w:pPr>
              <w:numPr>
                <w:ilvl w:val="0"/>
                <w:numId w:val="1"/>
              </w:numPr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绿色建造和建筑工业化转型升级的机遇和挑战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推动绿色建造和建筑工业化的制约因素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我省推动绿色建造和建筑工业化的思路与举措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526" w:type="dxa"/>
            <w:vMerge w:val="continue"/>
            <w:vAlign w:val="center"/>
          </w:tcPr>
          <w:p>
            <w:pPr>
              <w:tabs>
                <w:tab w:val="left" w:pos="2850"/>
              </w:tabs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tabs>
                <w:tab w:val="left" w:pos="2850"/>
              </w:tabs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2850"/>
              </w:tabs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“双碳”和工业化建筑创新机制和产业升级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张国强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4678" w:type="dxa"/>
            <w:vAlign w:val="center"/>
          </w:tcPr>
          <w:p>
            <w:pPr>
              <w:numPr>
                <w:ilvl w:val="0"/>
                <w:numId w:val="1"/>
              </w:numPr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《城乡建设领域碳达峰实施方案》对湖南省建筑领域推进绿色低碳发展政策措施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促进建筑“双碳”和工业化转型的创新机制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建筑“双碳”和工业化转型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企业发展带来的机遇和挑战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526" w:type="dxa"/>
            <w:vAlign w:val="center"/>
          </w:tcPr>
          <w:p>
            <w:pPr>
              <w:tabs>
                <w:tab w:val="left" w:pos="2850"/>
              </w:tabs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第二天</w:t>
            </w:r>
          </w:p>
          <w:p>
            <w:pPr>
              <w:tabs>
                <w:tab w:val="left" w:pos="2850"/>
              </w:tabs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9:00-11:30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850"/>
              </w:tabs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模块三</w:t>
            </w:r>
          </w:p>
          <w:p>
            <w:pPr>
              <w:tabs>
                <w:tab w:val="left" w:pos="2850"/>
              </w:tabs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建筑领域“双碳”实施金融工具与经济手段</w:t>
            </w:r>
          </w:p>
        </w:tc>
        <w:tc>
          <w:tcPr>
            <w:tcW w:w="2410" w:type="dxa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建筑“双碳”市场（含投融资）与金融工具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专家</w:t>
            </w:r>
            <w:r>
              <w:rPr>
                <w:rFonts w:ascii="楷体" w:hAnsi="楷体" w:eastAsia="楷体" w:cs="楷体"/>
                <w:sz w:val="28"/>
                <w:szCs w:val="28"/>
              </w:rPr>
              <w:t>待定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4678" w:type="dxa"/>
            <w:vAlign w:val="center"/>
          </w:tcPr>
          <w:p>
            <w:pPr>
              <w:numPr>
                <w:ilvl w:val="0"/>
                <w:numId w:val="1"/>
              </w:numPr>
              <w:spacing w:line="4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建筑“双碳”战略实施的市场规模、投融资规模以及适宜的金融工具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碳减排货币政策和绿色信贷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企业上市融资和绿色债券融资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政府低碳转型基金与社会低碳产业基金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526" w:type="dxa"/>
            <w:vMerge w:val="restart"/>
            <w:vAlign w:val="center"/>
          </w:tcPr>
          <w:p>
            <w:pPr>
              <w:tabs>
                <w:tab w:val="left" w:pos="2850"/>
              </w:tabs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第二天</w:t>
            </w:r>
          </w:p>
          <w:p>
            <w:pPr>
              <w:tabs>
                <w:tab w:val="left" w:pos="2850"/>
              </w:tabs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14:00-17:30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tabs>
                <w:tab w:val="left" w:pos="2850"/>
              </w:tabs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模块四</w:t>
            </w:r>
          </w:p>
          <w:p>
            <w:pPr>
              <w:tabs>
                <w:tab w:val="left" w:pos="2850"/>
              </w:tabs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既有建筑节能改造与可再生能源建筑应用技术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2850"/>
              </w:tabs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可再生能源应用与零能耗建筑技术（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彭晋卿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4678" w:type="dxa"/>
            <w:vAlign w:val="center"/>
          </w:tcPr>
          <w:p>
            <w:pPr>
              <w:numPr>
                <w:ilvl w:val="0"/>
                <w:numId w:val="1"/>
              </w:numPr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可再生能源技术及其发展</w:t>
            </w:r>
          </w:p>
          <w:p>
            <w:pPr>
              <w:numPr>
                <w:ilvl w:val="0"/>
                <w:numId w:val="2"/>
              </w:numPr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零能耗建筑技术和产业发展机遇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tabs>
                <w:tab w:val="left" w:pos="2850"/>
              </w:tabs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tabs>
                <w:tab w:val="left" w:pos="2850"/>
              </w:tabs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既有建筑节能改造与合同能源管理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远大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4678" w:type="dxa"/>
            <w:vAlign w:val="center"/>
          </w:tcPr>
          <w:p>
            <w:pPr>
              <w:numPr>
                <w:ilvl w:val="0"/>
                <w:numId w:val="2"/>
              </w:numPr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既有建筑围护结构节能改造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建筑合同能源管理</w:t>
            </w:r>
          </w:p>
        </w:tc>
      </w:tr>
    </w:tbl>
    <w:p>
      <w:pPr>
        <w:rPr>
          <w:rFonts w:ascii="仿宋_GB2312" w:hAnsi="宋体" w:eastAsia="仿宋_GB2312" w:cs="方正小标宋_GBK"/>
          <w:sz w:val="32"/>
          <w:szCs w:val="32"/>
        </w:rPr>
      </w:pPr>
    </w:p>
    <w:p/>
    <w:sectPr>
      <w:pgSz w:w="11906" w:h="16838"/>
      <w:pgMar w:top="1021" w:right="1418" w:bottom="1021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2912830-62BA-4014-A476-1F42A175D1A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1CBA042-5E29-49F8-B264-B7B511844E5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D6FBCAA-88FF-4EC1-930D-D65B046C574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275244B-0CF6-48F8-88ED-C4476B6E546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1C9B1B7-72EC-4BF3-9841-E2F4576431A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A3C9F"/>
    <w:multiLevelType w:val="singleLevel"/>
    <w:tmpl w:val="FFFA3C9F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620E374F"/>
    <w:multiLevelType w:val="singleLevel"/>
    <w:tmpl w:val="620E374F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WE1ZDI4NzY3NDdiMmE0MzY4YzQxMjlkNmE1MDgifQ=="/>
  </w:docVars>
  <w:rsids>
    <w:rsidRoot w:val="13DA339E"/>
    <w:rsid w:val="13DA339E"/>
    <w:rsid w:val="46F7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192</Characters>
  <Lines>0</Lines>
  <Paragraphs>0</Paragraphs>
  <TotalTime>0</TotalTime>
  <ScaleCrop>false</ScaleCrop>
  <LinksUpToDate>false</LinksUpToDate>
  <CharactersWithSpaces>234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2022-07-27T06:14:00Z</dcterms:created>
  <dc:creator>Nicki</dc:creator>
  <cp:lastModifiedBy>Nicki</cp:lastModifiedBy>
  <dcterms:modified xsi:type="dcterms:W3CDTF">2022-07-27T06:15:27Z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4221DE2EFD1C4ED1B474A9E48401315E</vt:lpwstr>
  </property>
</Properties>
</file>