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62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 w14:paraId="6EB378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588109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0B4E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</w:p>
    <w:p w14:paraId="4FEE86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bookmarkEnd w:id="0"/>
    <w:p w14:paraId="2935C6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FE318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1DEF6A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1E4DF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78D4B6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 w14:paraId="200A24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C91BE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5FEF27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E6AC6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758BB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 w14:paraId="3F2E02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F34E8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2CFC5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671FF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315DC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75496A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 w14:paraId="602C1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08F402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一、封面上的“推荐单位”为技术汇总推荐单位。</w:t>
      </w:r>
    </w:p>
    <w:p w14:paraId="359BDA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 w14:paraId="60ECC4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 w14:paraId="6CCA6C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 w14:paraId="5A2CE5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 w14:paraId="35A58D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 w14:paraId="7C2B86A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 w14:paraId="533F521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 w14:paraId="0F81760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 w14:paraId="1F9061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 w14:paraId="1E9332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 w14:paraId="3EA892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 w14:paraId="68C8FC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erReference r:id="rId5" w:type="default"/>
          <w:pgSz w:w="11906" w:h="16838"/>
          <w:pgMar w:top="1984" w:right="1616" w:bottom="1814" w:left="1616" w:header="851" w:footer="1474" w:gutter="0"/>
          <w:pgNumType w:fmt="decimal" w:start="7"/>
          <w:cols w:space="720" w:num="1"/>
          <w:docGrid w:type="lines" w:linePitch="312" w:charSpace="0"/>
        </w:sectPr>
      </w:pPr>
    </w:p>
    <w:p w14:paraId="7A0D03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 w14:paraId="7CA2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7A9F7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66D136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2111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791A46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1098D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2D4B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2277D5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4FFE6E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5A1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4A61CD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7D92AA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0CCD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4FDE9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66F7EA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0C07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1EC262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42DDD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272A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1EED74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 w14:paraId="0DAD8E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065DE0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 w14:paraId="5609C1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551C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78AD0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076E05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 w14:paraId="47DF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 w14:paraId="323E80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 w14:paraId="73198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 w14:paraId="6CA8BF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3A6A92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 w14:paraId="2866F0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177B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62D9BE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E353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 w14:paraId="1E4B65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6F303D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 w14:paraId="0AE4FD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344C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 w14:paraId="31F2B8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544CFF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 w14:paraId="0FEFB9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 w14:paraId="4056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9C3CA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51E59D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1CF8E6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377B53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8B8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B71E7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799151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54B9CB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39D7FF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4493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6DEEB6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652898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661E2A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03C08A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D4D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77DC0C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17A086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3A0CFE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66CFD1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 w14:paraId="48F15F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71BC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521BC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 w14:paraId="733453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FE1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1A567B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 w14:paraId="63F19C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02F9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490D5F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 w14:paraId="7308F8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FF2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 w14:paraId="22DC07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 w14:paraId="1D3A82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082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 w14:paraId="37BAF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 w14:paraId="7287B8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579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631590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 w14:paraId="23B269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 w14:paraId="6A7D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 w14:paraId="5E1A2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 w14:paraId="044607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4A8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 w14:paraId="21E5FA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 w14:paraId="416A9E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033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 w14:paraId="25DCA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 w14:paraId="29AE98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 w14:paraId="6BBC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 w14:paraId="3E7656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06AAC2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010A01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 w14:paraId="1E9034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184B8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22313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 w14:paraId="05F3E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29B99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0F703D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 w14:paraId="7455DD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 w14:paraId="05F717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 w14:paraId="47D8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8786" w:type="dxa"/>
            <w:noWrap w:val="0"/>
            <w:vAlign w:val="top"/>
          </w:tcPr>
          <w:p w14:paraId="1D0290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 w14:paraId="62080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7307C7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 w14:paraId="216980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4F3C8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4C067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（技术汇总推荐单位公章）</w:t>
            </w:r>
          </w:p>
          <w:p w14:paraId="47DA37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 w14:paraId="6CBFB2A1"/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1985" w:right="1616" w:bottom="1814" w:left="1616" w:header="851" w:footer="1474" w:gutter="0"/>
      <w:cols w:space="425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E82CF3-21FD-4B5A-A5BE-847CB5181FD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A062B53-BE01-4BE0-9E4C-D1D904D71095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9FBD768B-58E9-4899-8EAB-F903DB57962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A792F08E-003D-4E84-841A-E417838DAF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E341C75-FF07-4E1B-8499-C0107446CA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BAC62C4-BE3C-4179-9D2D-8DE0DD0174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547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2EB7D"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CU4w/L0QEAAKYDAAAOAAAAZHJzL2Uyb0RvYy54bWytU82O0zAQviPx&#10;Dpbv1GkQqIqarkDVIiQESAsP4Dp2Y8l/8rhN+gLwBpy4cOe5+hyMnbTLLpc9cHHsmfE33/d5sr4Z&#10;rSFHGUF719LloqJEOuE77fYt/frl9sWKEkjcddx4J1t6kkBvNs+frYfQyNr33nQyEgRx0AyhpX1K&#10;oWEMRC8th4UP0mFS+Wh5wmPcsy7yAdGtYXVVvWaDj12IXkgAjG6nJJ0R41MAvVJayK0XBytdmlCj&#10;NDyhJOh1ALopbJWSIn1SCmQipqWoNJUVm+B+l1e2WfNmH3notZgp8KdQeKTJcu2w6RVqyxMnh6j/&#10;gbJaRA9epYXwlk1CiiOoYlk98uau50EWLWg1hKvp8P9gxcfj50h0h5NAieMWH/z84/v55+/zr29k&#10;WdWvskNDgAYL7wKWpvGtH3P1HAcMZuGjijZ/URLBPPp7uvorx0REvrSqV6sKUwJzlwPisPvrIUJ6&#10;J70ledPSiA9YfOXHD5Cm0ktJ7ub8rTYG47wx7kEAMXOEZe4Tx7xL426cie98d0I9A759Sx2OOiXm&#10;vUNr6+olzinOSjnhJj4I7y7hQ4h635eJyp0hvDkkpFNY5l5Tg5kCPl/ROY9ano+/z6Xq/vfa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L45l0QAAAAYBAAAPAAAAAAAAAAEAIAAAACIAAABkcnMv&#10;ZG93bnJldi54bWxQSwECFAAUAAAACACHTuJAlOMPy9EBAACmAwAADgAAAAAAAAABACAAAAAgAQAA&#10;ZHJzL2Uyb0RvYy54bWxQSwUGAAAAAAYABgBZAQAAYwUAAAAA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65F2EB7D"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D9C3">
    <w:pPr>
      <w:pStyle w:val="8"/>
      <w:ind w:right="141"/>
      <w:jc w:val="right"/>
      <w:rPr>
        <w:rFonts w:ascii="仿宋_GB2312" w:hAnsi="宋体" w:eastAsia="仿宋_GB2312"/>
        <w:caps/>
        <w:sz w:val="28"/>
        <w:szCs w:val="28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方正仿宋_GBK" w:hAnsi="宋体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1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宋体"/>
        <w:caps/>
        <w:sz w:val="28"/>
        <w:szCs w:val="28"/>
      </w:rPr>
      <w:t xml:space="preserve"> 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ACBFA"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Theme="minorEastAsia" w:hAnsiTheme="minorEastAsia" w:eastAsiaTheme="minorEastAsia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Theme="minorEastAsia" w:hAnsiTheme="minorEastAsia" w:eastAsiaTheme="minorEastAsia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8BD35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E76F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49D0714D"/>
    <w:rsid w:val="5F7F3D9E"/>
    <w:rsid w:val="7F3AC0E9"/>
    <w:rsid w:val="7FEC1894"/>
    <w:rsid w:val="D6F5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16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17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8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9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20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1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2">
    <w:name w:val="批注主题 Char"/>
    <w:basedOn w:val="21"/>
    <w:link w:val="10"/>
    <w:semiHidden/>
    <w:qFormat/>
    <w:uiPriority w:val="99"/>
    <w:rPr>
      <w:b/>
      <w:bCs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2561</Words>
  <Characters>2661</Characters>
  <Lines>7</Lines>
  <Paragraphs>2</Paragraphs>
  <TotalTime>3</TotalTime>
  <ScaleCrop>false</ScaleCrop>
  <LinksUpToDate>false</LinksUpToDate>
  <CharactersWithSpaces>2931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2018-05-15T16:14:00Z</dcterms:created>
  <dc:creator>程建林</dc:creator>
  <cp:lastModifiedBy>Nicki</cp:lastModifiedBy>
  <cp:lastPrinted>2024-06-13T16:06:00Z</cp:lastPrinted>
  <dcterms:modified xsi:type="dcterms:W3CDTF">2024-07-08T01:14:18Z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B5248819FAED446988A108EC93F2A056_13</vt:lpwstr>
  </property>
</Properties>
</file>